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81B" w:rsidRPr="00711234" w:rsidRDefault="00F73866" w:rsidP="00711234">
      <w:pPr>
        <w:jc w:val="both"/>
        <w:rPr>
          <w:rFonts w:ascii="Sylfaen" w:hAnsi="Sylfaen"/>
          <w:b/>
          <w:sz w:val="20"/>
          <w:szCs w:val="20"/>
        </w:rPr>
      </w:pPr>
      <w:r w:rsidRPr="00037A16">
        <w:rPr>
          <w:rFonts w:ascii="Sylfaen" w:hAnsi="Sylfaen"/>
          <w:b/>
        </w:rPr>
        <w:t>Questionnaire: The right to</w:t>
      </w:r>
      <w:r>
        <w:rPr>
          <w:rFonts w:ascii="Sylfaen" w:hAnsi="Sylfaen"/>
          <w:b/>
        </w:rPr>
        <w:t xml:space="preserve"> sexual and reproductive health rights of girls with disabilities</w:t>
      </w:r>
    </w:p>
    <w:p w:rsidR="00B27A5D" w:rsidRPr="00F73866" w:rsidRDefault="00B27A5D" w:rsidP="00711234">
      <w:pPr>
        <w:jc w:val="both"/>
        <w:rPr>
          <w:rFonts w:ascii="Sylfaen" w:hAnsi="Sylfaen"/>
          <w:b/>
          <w:sz w:val="20"/>
          <w:szCs w:val="20"/>
        </w:rPr>
      </w:pPr>
    </w:p>
    <w:p w:rsidR="00B27A5D" w:rsidRPr="00F73866" w:rsidRDefault="00B27A5D" w:rsidP="00F73866">
      <w:pPr>
        <w:pStyle w:val="ListParagraph"/>
        <w:numPr>
          <w:ilvl w:val="0"/>
          <w:numId w:val="3"/>
        </w:numPr>
        <w:jc w:val="both"/>
        <w:rPr>
          <w:b/>
          <w:sz w:val="20"/>
          <w:szCs w:val="20"/>
        </w:rPr>
      </w:pPr>
      <w:r w:rsidRPr="00F73866">
        <w:rPr>
          <w:b/>
          <w:sz w:val="20"/>
          <w:szCs w:val="20"/>
        </w:rPr>
        <w:t>Sex education (in formal and non-formal settings) and assess to sexual and reproductive health information</w:t>
      </w:r>
    </w:p>
    <w:p w:rsidR="00711234" w:rsidRPr="00711234" w:rsidRDefault="00711234" w:rsidP="00C413DD">
      <w:pPr>
        <w:ind w:left="720"/>
        <w:jc w:val="both"/>
        <w:rPr>
          <w:rFonts w:ascii="Sylfaen" w:hAnsi="Sylfaen"/>
          <w:sz w:val="20"/>
          <w:szCs w:val="20"/>
          <w:lang w:val="en-GB"/>
        </w:rPr>
      </w:pPr>
      <w:r w:rsidRPr="00711234">
        <w:rPr>
          <w:rFonts w:ascii="Sylfaen" w:hAnsi="Sylfaen"/>
          <w:sz w:val="20"/>
          <w:szCs w:val="20"/>
          <w:lang w:val="en-GB"/>
        </w:rPr>
        <w:t>SRH of young people has until now been a rather neglected issue in Georgia. Research on young people’s knowledge, attitudes and behaviour regarding sexual relationships, contraception or STI/HIV prevention is very limited. In fact, the latest research dates back to 2010, while it should be presumed that the topic is undergoing a process of rapid change. Also, National Youth Survey undertaken in 2013-14, covers some of these issues</w:t>
      </w:r>
      <w:r w:rsidRPr="00711234">
        <w:rPr>
          <w:rFonts w:ascii="Sylfaen" w:hAnsi="Sylfaen"/>
          <w:sz w:val="20"/>
          <w:szCs w:val="20"/>
          <w:vertAlign w:val="superscript"/>
          <w:lang w:val="en-GB"/>
        </w:rPr>
        <w:footnoteReference w:id="1"/>
      </w:r>
      <w:r w:rsidRPr="00711234">
        <w:rPr>
          <w:rFonts w:ascii="Sylfaen" w:hAnsi="Sylfaen"/>
          <w:sz w:val="20"/>
          <w:szCs w:val="20"/>
          <w:lang w:val="en-GB"/>
        </w:rPr>
        <w:t>. The most striking results of this older research have been that sexual behaviour of young people is a taboo issue, that can hardly be openly discussed, and that the issue is characterised by an extreme “double standard”, in the sense that sexual behaviour of boys and young men is acceptable or even encouraged, whereas for girls and young women it is completely unacceptable. As a result of this, boys report quite extensive sexual experience and girls report none whatsoever. However, a critical analysis of research results has indicated that it is likely that boys tend to exaggerate their sexual experience and that girls massively underreport it, which was confirmed in a few focus group discussions with boys and girls. The analysis concluded that between 25% and 40% of unmarried girls and young women (aged 15-24 years) may have had one or more sexual contacts</w:t>
      </w:r>
      <w:r w:rsidRPr="00711234">
        <w:rPr>
          <w:rFonts w:ascii="Sylfaen" w:hAnsi="Sylfaen"/>
          <w:sz w:val="20"/>
          <w:szCs w:val="20"/>
          <w:vertAlign w:val="superscript"/>
        </w:rPr>
        <w:footnoteReference w:id="2"/>
      </w:r>
      <w:r w:rsidRPr="00711234">
        <w:rPr>
          <w:rFonts w:ascii="Sylfaen" w:hAnsi="Sylfaen"/>
          <w:sz w:val="20"/>
          <w:szCs w:val="20"/>
          <w:lang w:val="en-GB"/>
        </w:rPr>
        <w:t xml:space="preserve">. Existing research also indicates that young people’s knowledge of sexual and reproductive health and prevention is generally very poor. This is mainly the result of a general lack of accessible sources of information, and total absence of SRH education in schools, although an attempt to start school SRH education has been recently started with assistance of UNFPA Georgia. The country also lacks special SRH services for young people that do exist in most other European countries. An attempt to create such services a few years ago proved to be unsustainable, due to various reasons, including privatization of the infrastructure.  </w:t>
      </w:r>
    </w:p>
    <w:p w:rsidR="00E336C3" w:rsidRPr="00F73866" w:rsidRDefault="00E336C3" w:rsidP="00711234">
      <w:pPr>
        <w:autoSpaceDE w:val="0"/>
        <w:autoSpaceDN w:val="0"/>
        <w:adjustRightInd w:val="0"/>
        <w:spacing w:after="0" w:line="240" w:lineRule="auto"/>
        <w:jc w:val="both"/>
        <w:rPr>
          <w:rFonts w:ascii="Sylfaen" w:hAnsi="Sylfaen" w:cs="Arial"/>
          <w:b/>
          <w:color w:val="000000"/>
          <w:sz w:val="20"/>
          <w:szCs w:val="20"/>
          <w:lang w:val="en-GB"/>
        </w:rPr>
      </w:pPr>
    </w:p>
    <w:p w:rsidR="00B27A5D" w:rsidRPr="00F73866" w:rsidRDefault="00B27A5D" w:rsidP="00F73866">
      <w:pPr>
        <w:pStyle w:val="ListParagraph"/>
        <w:numPr>
          <w:ilvl w:val="0"/>
          <w:numId w:val="3"/>
        </w:numPr>
        <w:jc w:val="both"/>
        <w:rPr>
          <w:b/>
          <w:sz w:val="20"/>
          <w:szCs w:val="20"/>
        </w:rPr>
      </w:pPr>
      <w:r w:rsidRPr="00F73866">
        <w:rPr>
          <w:b/>
          <w:sz w:val="20"/>
          <w:szCs w:val="20"/>
        </w:rPr>
        <w:t>Access to child and youth friendly quality sexual a</w:t>
      </w:r>
      <w:r w:rsidR="00E336C3" w:rsidRPr="00F73866">
        <w:rPr>
          <w:b/>
          <w:sz w:val="20"/>
          <w:szCs w:val="20"/>
        </w:rPr>
        <w:t>nd reproductive health services</w:t>
      </w:r>
    </w:p>
    <w:p w:rsidR="00711234" w:rsidRPr="00711234" w:rsidRDefault="00711234" w:rsidP="00A6314C">
      <w:pPr>
        <w:ind w:left="720"/>
        <w:jc w:val="both"/>
        <w:rPr>
          <w:rFonts w:ascii="Sylfaen" w:hAnsi="Sylfaen"/>
          <w:sz w:val="20"/>
          <w:szCs w:val="20"/>
          <w:lang w:val="en-GB"/>
        </w:rPr>
      </w:pPr>
      <w:r w:rsidRPr="00711234">
        <w:rPr>
          <w:rFonts w:ascii="Sylfaen" w:hAnsi="Sylfaen"/>
          <w:sz w:val="20"/>
          <w:szCs w:val="20"/>
          <w:lang w:val="en-GB"/>
        </w:rPr>
        <w:t>One of the very few issues for which reliable data are available concerns births among adolescents</w:t>
      </w:r>
      <w:r w:rsidRPr="00711234">
        <w:rPr>
          <w:rStyle w:val="FootnoteReference"/>
          <w:rFonts w:ascii="Sylfaen" w:hAnsi="Sylfaen"/>
          <w:sz w:val="20"/>
          <w:szCs w:val="20"/>
          <w:lang w:val="en-GB"/>
        </w:rPr>
        <w:footnoteReference w:id="3"/>
      </w:r>
      <w:r w:rsidRPr="00711234">
        <w:rPr>
          <w:rFonts w:ascii="Sylfaen" w:hAnsi="Sylfaen"/>
          <w:sz w:val="20"/>
          <w:szCs w:val="20"/>
          <w:lang w:val="en-GB"/>
        </w:rPr>
        <w:t>. The age-specific fertility rate among 15-19 year olds increased from 39.9 (per 1,000 women 15-19y) in 2000 to 4</w:t>
      </w:r>
      <w:r w:rsidRPr="00711234">
        <w:rPr>
          <w:rFonts w:ascii="Sylfaen" w:hAnsi="Sylfaen"/>
          <w:sz w:val="20"/>
          <w:szCs w:val="20"/>
          <w:lang w:val="ka-GE"/>
        </w:rPr>
        <w:t>8.6</w:t>
      </w:r>
      <w:r w:rsidRPr="00711234">
        <w:rPr>
          <w:rFonts w:ascii="Sylfaen" w:hAnsi="Sylfaen"/>
          <w:sz w:val="20"/>
          <w:szCs w:val="20"/>
          <w:lang w:val="en-GB"/>
        </w:rPr>
        <w:t xml:space="preserve"> in 2015. The latter rate means that by the time they reach the age of 20 years, roughly a quarter of young women have already given birth. The rate of </w:t>
      </w:r>
      <w:r w:rsidRPr="00711234">
        <w:rPr>
          <w:rFonts w:ascii="Sylfaen" w:hAnsi="Sylfaen"/>
          <w:sz w:val="20"/>
          <w:szCs w:val="20"/>
          <w:lang w:val="ka-GE"/>
        </w:rPr>
        <w:t>48.6</w:t>
      </w:r>
      <w:r w:rsidRPr="00711234">
        <w:rPr>
          <w:rFonts w:ascii="Sylfaen" w:hAnsi="Sylfaen"/>
          <w:sz w:val="20"/>
          <w:szCs w:val="20"/>
          <w:lang w:val="en-GB"/>
        </w:rPr>
        <w:t xml:space="preserve"> is very high for European standards; in almost all western European countries this rate is between 5 and 10, or 5 to 10 times lower than in Georgia. Even in southern European countries it is much lower: Greece and Spain: 10 and Italy: 7. In most European countries the abortion rate in this age group is about the same or higher than the birth rate</w:t>
      </w:r>
      <w:r w:rsidRPr="00711234">
        <w:rPr>
          <w:rStyle w:val="FootnoteReference"/>
          <w:rFonts w:ascii="Sylfaen" w:hAnsi="Sylfaen"/>
          <w:sz w:val="20"/>
          <w:szCs w:val="20"/>
          <w:lang w:val="en-GB"/>
        </w:rPr>
        <w:footnoteReference w:id="4"/>
      </w:r>
      <w:r w:rsidRPr="00711234">
        <w:rPr>
          <w:rFonts w:ascii="Sylfaen" w:hAnsi="Sylfaen"/>
          <w:sz w:val="20"/>
          <w:szCs w:val="20"/>
          <w:lang w:val="en-GB"/>
        </w:rPr>
        <w:t xml:space="preserve">. In Georgia, on the contrary, the </w:t>
      </w:r>
      <w:r w:rsidRPr="00711234">
        <w:rPr>
          <w:rFonts w:ascii="Sylfaen" w:hAnsi="Sylfaen"/>
          <w:i/>
          <w:sz w:val="20"/>
          <w:szCs w:val="20"/>
          <w:lang w:val="en-GB"/>
        </w:rPr>
        <w:t xml:space="preserve">reported </w:t>
      </w:r>
      <w:r w:rsidRPr="00711234">
        <w:rPr>
          <w:rFonts w:ascii="Sylfaen" w:hAnsi="Sylfaen"/>
          <w:sz w:val="20"/>
          <w:szCs w:val="20"/>
          <w:lang w:val="en-GB"/>
        </w:rPr>
        <w:t>abortion rate in this age group is only a quarter of the birth rate (13 per 1,000)</w:t>
      </w:r>
      <w:r w:rsidRPr="00711234">
        <w:rPr>
          <w:rStyle w:val="FootnoteReference"/>
          <w:rFonts w:ascii="Sylfaen" w:hAnsi="Sylfaen"/>
          <w:sz w:val="20"/>
          <w:szCs w:val="20"/>
          <w:lang w:val="en-GB"/>
        </w:rPr>
        <w:footnoteReference w:id="5"/>
      </w:r>
      <w:r w:rsidRPr="00711234">
        <w:rPr>
          <w:rFonts w:ascii="Sylfaen" w:hAnsi="Sylfaen"/>
          <w:sz w:val="20"/>
          <w:szCs w:val="20"/>
          <w:lang w:val="en-GB"/>
        </w:rPr>
        <w:t>.</w:t>
      </w:r>
      <w:r w:rsidR="009C765F">
        <w:rPr>
          <w:rFonts w:ascii="Sylfaen" w:hAnsi="Sylfaen"/>
          <w:sz w:val="20"/>
          <w:szCs w:val="20"/>
          <w:lang w:val="en-GB"/>
        </w:rPr>
        <w:t xml:space="preserve"> </w:t>
      </w:r>
    </w:p>
    <w:p w:rsidR="00F82D71" w:rsidRPr="009C765F" w:rsidRDefault="00F82D71" w:rsidP="00A6314C">
      <w:pPr>
        <w:ind w:left="720"/>
        <w:jc w:val="both"/>
        <w:rPr>
          <w:rFonts w:ascii="Sylfaen" w:hAnsi="Sylfaen"/>
          <w:sz w:val="20"/>
          <w:szCs w:val="20"/>
          <w:lang w:val="en-GB"/>
        </w:rPr>
      </w:pPr>
      <w:r w:rsidRPr="009C765F">
        <w:rPr>
          <w:rFonts w:ascii="Sylfaen" w:hAnsi="Sylfaen"/>
          <w:sz w:val="20"/>
          <w:szCs w:val="20"/>
          <w:lang w:val="en-GB"/>
        </w:rPr>
        <w:lastRenderedPageBreak/>
        <w:t xml:space="preserve">Despite national laws designed to uphold people’s reproductive rights and the right of access to reproductive health care, along with significant amounts of resources and technical efforts invested in the sector, access to and use of family planning services remains quite limited in Georgia. Provision FP counselling and services are still limited at the Primary Health Care (PHC) level. </w:t>
      </w:r>
    </w:p>
    <w:p w:rsidR="00F82D71" w:rsidRPr="009C765F" w:rsidRDefault="00F82D71" w:rsidP="00A6314C">
      <w:pPr>
        <w:ind w:left="720"/>
        <w:rPr>
          <w:rFonts w:ascii="Sylfaen" w:hAnsi="Sylfaen"/>
          <w:sz w:val="20"/>
          <w:szCs w:val="20"/>
          <w:lang w:val="en-GB"/>
        </w:rPr>
      </w:pPr>
      <w:r w:rsidRPr="009C765F">
        <w:rPr>
          <w:rFonts w:ascii="Sylfaen" w:hAnsi="Sylfaen"/>
          <w:sz w:val="20"/>
          <w:szCs w:val="20"/>
          <w:lang w:val="en-GB"/>
        </w:rPr>
        <w:t>Although the Georgia Reproductive Health Surveys between 1999 and 2010 have indicated some progress, access to FP services remains a source of serious concern, because it is still characterised by high levels of unintended pregnancy, a substantial unmet need for modern effective FP method use, and a still high incidence of induced abortion. The latter is still used as a main method of FP, and its incidence can only be reduced by increasing access to modern, effective FP methods. Because recent representative data since the Reproductive Health Survey 2010 (RHS 2010; Final Report 2012) are virtually absent, it is hardly possible to assess the latest developments in FP or its current status as of 2016.</w:t>
      </w:r>
    </w:p>
    <w:p w:rsidR="00F82D71" w:rsidRPr="009C765F" w:rsidRDefault="00F82D71" w:rsidP="00A6314C">
      <w:pPr>
        <w:ind w:left="720"/>
        <w:jc w:val="both"/>
        <w:rPr>
          <w:rFonts w:ascii="Sylfaen" w:hAnsi="Sylfaen"/>
          <w:sz w:val="20"/>
          <w:szCs w:val="20"/>
        </w:rPr>
      </w:pPr>
      <w:r w:rsidRPr="009C765F">
        <w:rPr>
          <w:rFonts w:ascii="Sylfaen" w:hAnsi="Sylfaen"/>
          <w:sz w:val="20"/>
          <w:szCs w:val="20"/>
        </w:rPr>
        <w:t>It is also worth noting that recent recovery of fertility</w:t>
      </w:r>
      <w:r w:rsidRPr="009C765F">
        <w:rPr>
          <w:rStyle w:val="FootnoteReference"/>
          <w:rFonts w:ascii="Sylfaen" w:hAnsi="Sylfaen"/>
          <w:sz w:val="20"/>
          <w:szCs w:val="20"/>
        </w:rPr>
        <w:footnoteReference w:id="6"/>
      </w:r>
      <w:r w:rsidRPr="009C765F">
        <w:rPr>
          <w:rFonts w:ascii="Sylfaen" w:hAnsi="Sylfaen"/>
          <w:sz w:val="20"/>
          <w:szCs w:val="20"/>
        </w:rPr>
        <w:t xml:space="preserve"> in Georgia has taken place in the context of increasing prevalence of contraception. Namely, the diffusion of contraception fostered a strong decline of abortion and enabled an increase of fertility at the same time. According to the data of the surveys on reproductive health in Georgia, it is envisaged that contraceptive prevalence may be further increased by 15-20 percentage points without endangering the recovery of fertility but with a continuing decline of abortion rates. Furthermore, decline in induced abortion rate will have positive impact on overall fertility, as will contribute to reduction of secondary infertility, which is  associated with high abortion rate, STIs and related pelvic infections (37% of women aged 35-44 are not using the contraceptive method because of female infecundity</w:t>
      </w:r>
      <w:r w:rsidRPr="009C765F">
        <w:rPr>
          <w:rStyle w:val="FootnoteReference"/>
          <w:rFonts w:ascii="Sylfaen" w:hAnsi="Sylfaen"/>
          <w:sz w:val="20"/>
          <w:szCs w:val="20"/>
        </w:rPr>
        <w:footnoteReference w:id="7"/>
      </w:r>
      <w:r w:rsidRPr="009C765F">
        <w:rPr>
          <w:rFonts w:ascii="Sylfaen" w:hAnsi="Sylfaen"/>
          <w:sz w:val="20"/>
          <w:szCs w:val="20"/>
        </w:rPr>
        <w:t xml:space="preserve">).  The real trade-off that the country faces in this area is not so much one of fertility vs. family planning, but of </w:t>
      </w:r>
      <w:r w:rsidRPr="009C765F">
        <w:rPr>
          <w:rFonts w:ascii="Sylfaen" w:hAnsi="Sylfaen"/>
          <w:b/>
          <w:sz w:val="20"/>
          <w:szCs w:val="20"/>
        </w:rPr>
        <w:t>family planning vs. abortion</w:t>
      </w:r>
      <w:r w:rsidRPr="009C765F">
        <w:rPr>
          <w:rFonts w:ascii="Sylfaen" w:hAnsi="Sylfaen"/>
          <w:sz w:val="20"/>
          <w:szCs w:val="20"/>
        </w:rPr>
        <w:t>.</w:t>
      </w:r>
    </w:p>
    <w:p w:rsidR="00E336C3" w:rsidRPr="00F82D71" w:rsidRDefault="00E336C3" w:rsidP="00711234">
      <w:pPr>
        <w:jc w:val="both"/>
        <w:rPr>
          <w:rFonts w:ascii="Sylfaen" w:hAnsi="Sylfaen"/>
          <w:sz w:val="20"/>
          <w:szCs w:val="20"/>
        </w:rPr>
      </w:pPr>
    </w:p>
    <w:p w:rsidR="00B27A5D" w:rsidRPr="00F73866" w:rsidRDefault="00B27A5D" w:rsidP="00F73866">
      <w:pPr>
        <w:pStyle w:val="ListParagraph"/>
        <w:numPr>
          <w:ilvl w:val="0"/>
          <w:numId w:val="3"/>
        </w:numPr>
        <w:jc w:val="both"/>
        <w:rPr>
          <w:sz w:val="20"/>
          <w:szCs w:val="20"/>
        </w:rPr>
      </w:pPr>
      <w:r w:rsidRPr="00F73866">
        <w:rPr>
          <w:b/>
          <w:sz w:val="20"/>
          <w:szCs w:val="20"/>
        </w:rPr>
        <w:t>Prevention, care and treatment of sexually transmitted infectious</w:t>
      </w:r>
    </w:p>
    <w:p w:rsidR="00711234" w:rsidRPr="009C765F" w:rsidRDefault="00711234" w:rsidP="00643DCC">
      <w:pPr>
        <w:autoSpaceDE w:val="0"/>
        <w:autoSpaceDN w:val="0"/>
        <w:adjustRightInd w:val="0"/>
        <w:spacing w:after="0" w:line="240" w:lineRule="auto"/>
        <w:ind w:left="720"/>
        <w:jc w:val="both"/>
        <w:rPr>
          <w:rFonts w:ascii="Sylfaen" w:hAnsi="Sylfaen" w:cs="Arial"/>
          <w:color w:val="000000"/>
          <w:sz w:val="20"/>
          <w:szCs w:val="20"/>
        </w:rPr>
      </w:pPr>
      <w:r w:rsidRPr="009C765F">
        <w:rPr>
          <w:rFonts w:ascii="Sylfaen" w:hAnsi="Sylfaen" w:cs="Arial"/>
          <w:color w:val="000000"/>
          <w:sz w:val="20"/>
          <w:szCs w:val="20"/>
        </w:rPr>
        <w:t xml:space="preserve">In 2015, according to the data collected from women consultancy centers, 94071 pregnant women were registered in Georgia. 91% of pregnant women were tested for Rh-factor, 89.2% - for syphilis, 89.0% - for HIV, and 88.7% - for hepatitis B. Under the “Maternal and child health” state program </w:t>
      </w:r>
      <w:proofErr w:type="gramStart"/>
      <w:r w:rsidRPr="009C765F">
        <w:rPr>
          <w:rFonts w:ascii="Sylfaen" w:hAnsi="Sylfaen" w:cs="Arial"/>
          <w:color w:val="000000"/>
          <w:sz w:val="20"/>
          <w:szCs w:val="20"/>
        </w:rPr>
        <w:t>37476 blood serum of pregnant women</w:t>
      </w:r>
      <w:proofErr w:type="gramEnd"/>
      <w:r w:rsidRPr="009C765F">
        <w:rPr>
          <w:rFonts w:ascii="Sylfaen" w:hAnsi="Sylfaen" w:cs="Arial"/>
          <w:color w:val="000000"/>
          <w:sz w:val="20"/>
          <w:szCs w:val="20"/>
        </w:rPr>
        <w:t xml:space="preserve"> were screened, using rapid tests, for hepatitis B, HIV, and syphilis. Since November 2015, in the frame of the state program, a screening component has been expanded by addition tests for hepatitis C, using this component 1836 pregnant women were tested (9.3% out of program beneficiaries). </w:t>
      </w:r>
    </w:p>
    <w:p w:rsidR="00711234" w:rsidRPr="009C765F" w:rsidRDefault="00711234" w:rsidP="00643DCC">
      <w:pPr>
        <w:autoSpaceDE w:val="0"/>
        <w:autoSpaceDN w:val="0"/>
        <w:adjustRightInd w:val="0"/>
        <w:spacing w:after="0" w:line="240" w:lineRule="auto"/>
        <w:ind w:left="720"/>
        <w:jc w:val="both"/>
        <w:rPr>
          <w:rFonts w:ascii="Sylfaen" w:hAnsi="Sylfaen" w:cs="Arial"/>
          <w:color w:val="000000"/>
          <w:sz w:val="20"/>
          <w:szCs w:val="20"/>
        </w:rPr>
      </w:pPr>
    </w:p>
    <w:p w:rsidR="00711234" w:rsidRPr="009C765F" w:rsidRDefault="00711234" w:rsidP="00643DCC">
      <w:pPr>
        <w:autoSpaceDE w:val="0"/>
        <w:autoSpaceDN w:val="0"/>
        <w:adjustRightInd w:val="0"/>
        <w:spacing w:after="0" w:line="240" w:lineRule="auto"/>
        <w:ind w:left="720"/>
        <w:jc w:val="both"/>
        <w:rPr>
          <w:rFonts w:ascii="Sylfaen" w:hAnsi="Sylfaen" w:cs="Arial"/>
          <w:color w:val="000000"/>
          <w:sz w:val="20"/>
          <w:szCs w:val="20"/>
        </w:rPr>
      </w:pPr>
      <w:r w:rsidRPr="009C765F">
        <w:rPr>
          <w:rFonts w:ascii="Sylfaen" w:hAnsi="Sylfaen" w:cs="Arial"/>
          <w:color w:val="000000"/>
          <w:sz w:val="20"/>
          <w:szCs w:val="20"/>
        </w:rPr>
        <w:t xml:space="preserve">866 HBS Ag serums with positive answers to IFA tests were checked at the NCDC labs in Tbilisi, Kutaisi, </w:t>
      </w:r>
      <w:proofErr w:type="spellStart"/>
      <w:r w:rsidRPr="009C765F">
        <w:rPr>
          <w:rFonts w:ascii="Sylfaen" w:hAnsi="Sylfaen" w:cs="Arial"/>
          <w:color w:val="000000"/>
          <w:sz w:val="20"/>
          <w:szCs w:val="20"/>
        </w:rPr>
        <w:t>Kakheti</w:t>
      </w:r>
      <w:proofErr w:type="spellEnd"/>
      <w:r w:rsidRPr="009C765F">
        <w:rPr>
          <w:rFonts w:ascii="Sylfaen" w:hAnsi="Sylfaen" w:cs="Arial"/>
          <w:color w:val="000000"/>
          <w:sz w:val="20"/>
          <w:szCs w:val="20"/>
        </w:rPr>
        <w:t xml:space="preserve">, </w:t>
      </w:r>
      <w:proofErr w:type="spellStart"/>
      <w:r w:rsidRPr="009C765F">
        <w:rPr>
          <w:rFonts w:ascii="Sylfaen" w:hAnsi="Sylfaen" w:cs="Arial"/>
          <w:color w:val="000000"/>
          <w:sz w:val="20"/>
          <w:szCs w:val="20"/>
        </w:rPr>
        <w:t>Shida</w:t>
      </w:r>
      <w:proofErr w:type="spellEnd"/>
      <w:r w:rsidRPr="009C765F">
        <w:rPr>
          <w:rFonts w:ascii="Sylfaen" w:hAnsi="Sylfaen" w:cs="Arial"/>
          <w:color w:val="000000"/>
          <w:sz w:val="20"/>
          <w:szCs w:val="20"/>
        </w:rPr>
        <w:t xml:space="preserve"> </w:t>
      </w:r>
      <w:proofErr w:type="spellStart"/>
      <w:r w:rsidRPr="009C765F">
        <w:rPr>
          <w:rFonts w:ascii="Sylfaen" w:hAnsi="Sylfaen" w:cs="Arial"/>
          <w:color w:val="000000"/>
          <w:sz w:val="20"/>
          <w:szCs w:val="20"/>
        </w:rPr>
        <w:t>Kartli</w:t>
      </w:r>
      <w:proofErr w:type="spellEnd"/>
      <w:r w:rsidRPr="009C765F">
        <w:rPr>
          <w:rFonts w:ascii="Sylfaen" w:hAnsi="Sylfaen" w:cs="Arial"/>
          <w:color w:val="000000"/>
          <w:sz w:val="20"/>
          <w:szCs w:val="20"/>
        </w:rPr>
        <w:t xml:space="preserve"> and Batumi. 403 serums were positive for HBS Ag as a result of these checks. In the frame of the state</w:t>
      </w:r>
      <w:r w:rsidR="009C765F" w:rsidRPr="009C765F">
        <w:rPr>
          <w:rFonts w:ascii="Sylfaen" w:hAnsi="Sylfaen" w:cs="Arial"/>
          <w:color w:val="000000"/>
          <w:sz w:val="20"/>
          <w:szCs w:val="20"/>
        </w:rPr>
        <w:t xml:space="preserve"> program 791 newborns (born to </w:t>
      </w:r>
      <w:r w:rsidRPr="009C765F">
        <w:rPr>
          <w:rFonts w:ascii="Sylfaen" w:hAnsi="Sylfaen" w:cs="Arial"/>
          <w:color w:val="000000"/>
          <w:sz w:val="20"/>
          <w:szCs w:val="20"/>
        </w:rPr>
        <w:t>antigen-positive mothers) were vaccinated with anti-hepatitis B immune globulin</w:t>
      </w:r>
      <w:r w:rsidR="009C765F" w:rsidRPr="009C765F">
        <w:rPr>
          <w:rFonts w:ascii="Sylfaen" w:hAnsi="Sylfaen" w:cs="Arial"/>
          <w:color w:val="000000"/>
          <w:sz w:val="20"/>
          <w:szCs w:val="20"/>
        </w:rPr>
        <w:t>).</w:t>
      </w:r>
    </w:p>
    <w:p w:rsidR="009C765F" w:rsidRPr="009C765F" w:rsidRDefault="009C765F" w:rsidP="00643DCC">
      <w:pPr>
        <w:autoSpaceDE w:val="0"/>
        <w:autoSpaceDN w:val="0"/>
        <w:adjustRightInd w:val="0"/>
        <w:spacing w:after="0" w:line="240" w:lineRule="auto"/>
        <w:ind w:left="720"/>
        <w:jc w:val="both"/>
        <w:rPr>
          <w:rFonts w:ascii="Sylfaen" w:hAnsi="Sylfaen" w:cs="Arial"/>
          <w:color w:val="000000"/>
          <w:sz w:val="20"/>
          <w:szCs w:val="20"/>
        </w:rPr>
      </w:pPr>
    </w:p>
    <w:p w:rsidR="009C765F" w:rsidRPr="009C765F" w:rsidRDefault="009C765F" w:rsidP="00643DCC">
      <w:pPr>
        <w:ind w:left="720"/>
        <w:jc w:val="both"/>
        <w:rPr>
          <w:rFonts w:ascii="Sylfaen" w:hAnsi="Sylfaen"/>
          <w:sz w:val="20"/>
          <w:szCs w:val="20"/>
        </w:rPr>
      </w:pPr>
      <w:r w:rsidRPr="009C765F">
        <w:rPr>
          <w:rFonts w:ascii="Sylfaen" w:hAnsi="Sylfaen"/>
          <w:sz w:val="20"/>
          <w:szCs w:val="20"/>
        </w:rPr>
        <w:t xml:space="preserve">Prevention of congenital syphilis and mother to child transmission (PMTCT) of HIV is an important component of the response to reduce maternal and newborn morbidity and mortality. HIV prevalence among pregnant women in Georgia is lower (0.04%) than in general population (0.07% in 2013). Universal screening of all pregnant women for HIV; provision of preventive ARV treatment to all HIV positive pregnant; and providing preventive ARV therapy and social care to all newborns along with the </w:t>
      </w:r>
      <w:r w:rsidRPr="009C765F">
        <w:rPr>
          <w:rFonts w:ascii="Sylfaen" w:hAnsi="Sylfaen"/>
          <w:sz w:val="20"/>
          <w:szCs w:val="20"/>
        </w:rPr>
        <w:lastRenderedPageBreak/>
        <w:t xml:space="preserve">improvement of the quality of PMTCT program are key priority interventions of the National HIV/AIDS Strategy 2016-2018. The linkage of MNH program with the National HIV/AIDS and STI programs </w:t>
      </w:r>
      <w:r w:rsidRPr="009C765F">
        <w:rPr>
          <w:rFonts w:ascii="Sylfaen" w:hAnsi="Sylfaen"/>
          <w:sz w:val="20"/>
          <w:szCs w:val="20"/>
          <w:lang w:val="ka-GE"/>
        </w:rPr>
        <w:t>(</w:t>
      </w:r>
      <w:r w:rsidRPr="009C765F">
        <w:rPr>
          <w:rFonts w:ascii="Sylfaen" w:hAnsi="Sylfaen"/>
          <w:sz w:val="20"/>
          <w:szCs w:val="20"/>
        </w:rPr>
        <w:t>STI screening and treatment of pregnant women with syphilis’s under MCH state program</w:t>
      </w:r>
      <w:r w:rsidRPr="009C765F">
        <w:rPr>
          <w:rFonts w:ascii="Sylfaen" w:hAnsi="Sylfaen"/>
          <w:sz w:val="20"/>
          <w:szCs w:val="20"/>
          <w:lang w:val="ka-GE"/>
        </w:rPr>
        <w:t xml:space="preserve">) </w:t>
      </w:r>
      <w:r w:rsidRPr="009C765F">
        <w:rPr>
          <w:rFonts w:ascii="Sylfaen" w:hAnsi="Sylfaen"/>
          <w:sz w:val="20"/>
          <w:szCs w:val="20"/>
        </w:rPr>
        <w:t>will scale up in-country coordinated preventive efforts towards the elimination of congenital syphilis and new HIV infections among newborns and keeping their mothers alive.</w:t>
      </w:r>
    </w:p>
    <w:p w:rsidR="00F82D71" w:rsidRDefault="00F82D71" w:rsidP="00711234">
      <w:pPr>
        <w:jc w:val="both"/>
        <w:rPr>
          <w:rFonts w:ascii="Sylfaen" w:hAnsi="Sylfaen"/>
          <w:sz w:val="20"/>
          <w:szCs w:val="20"/>
        </w:rPr>
      </w:pPr>
    </w:p>
    <w:p w:rsidR="00B27A5D" w:rsidRPr="00F73866" w:rsidRDefault="00B27A5D" w:rsidP="00F73866">
      <w:pPr>
        <w:pStyle w:val="ListParagraph"/>
        <w:numPr>
          <w:ilvl w:val="0"/>
          <w:numId w:val="3"/>
        </w:numPr>
        <w:jc w:val="both"/>
        <w:rPr>
          <w:b/>
          <w:sz w:val="20"/>
          <w:szCs w:val="20"/>
        </w:rPr>
      </w:pPr>
      <w:r w:rsidRPr="00F73866">
        <w:rPr>
          <w:b/>
          <w:sz w:val="20"/>
          <w:szCs w:val="20"/>
        </w:rPr>
        <w:t>Harmful practice, such as forced sterilization and child early and forced marriage</w:t>
      </w:r>
    </w:p>
    <w:p w:rsidR="00E336C3" w:rsidRPr="00711234" w:rsidRDefault="00E336C3" w:rsidP="00643DCC">
      <w:pPr>
        <w:tabs>
          <w:tab w:val="left" w:pos="900"/>
        </w:tabs>
        <w:spacing w:afterLines="120" w:after="288" w:line="240" w:lineRule="auto"/>
        <w:ind w:left="720"/>
        <w:jc w:val="both"/>
        <w:rPr>
          <w:rFonts w:ascii="Sylfaen" w:hAnsi="Sylfaen"/>
          <w:sz w:val="20"/>
          <w:szCs w:val="20"/>
        </w:rPr>
      </w:pPr>
      <w:r w:rsidRPr="00711234">
        <w:rPr>
          <w:rFonts w:ascii="Sylfaen" w:eastAsia="Times New Roman" w:hAnsi="Sylfaen" w:cs="Helvetica"/>
          <w:color w:val="000000"/>
          <w:sz w:val="20"/>
          <w:szCs w:val="20"/>
          <w:shd w:val="clear" w:color="auto" w:fill="FFFFFF"/>
        </w:rPr>
        <w:t xml:space="preserve">According to Article 145 of the Georgian Law on “Healthcare”, voluntary surgical contraception – sterilization shall be permissible if there is a written request of a patient, a relative or legal representative and if one month for consideration had passed since the interview conducted by a doctor with a person concerned. According to the Law, sterilization can be performed at the medical facility with a relevant authorization and by a certified doctor. The Georgian legislation does not separately regulate the issue of surgical sterilization for persons with disabilities and recipients of assistance. Issues related to termination of pregnancy are discussed in the report of Article 10. Statistics or information regarding </w:t>
      </w:r>
      <w:r w:rsidRPr="00711234">
        <w:rPr>
          <w:rFonts w:ascii="Sylfaen" w:hAnsi="Sylfaen"/>
          <w:sz w:val="20"/>
          <w:szCs w:val="20"/>
        </w:rPr>
        <w:t>Harmful practice, such as forced sterilization is not known.</w:t>
      </w:r>
    </w:p>
    <w:p w:rsidR="00E336C3" w:rsidRPr="00711234" w:rsidRDefault="00E336C3" w:rsidP="00643DCC">
      <w:pPr>
        <w:autoSpaceDE w:val="0"/>
        <w:autoSpaceDN w:val="0"/>
        <w:adjustRightInd w:val="0"/>
        <w:spacing w:after="0" w:line="240" w:lineRule="auto"/>
        <w:ind w:left="720"/>
        <w:jc w:val="both"/>
        <w:rPr>
          <w:rFonts w:ascii="Sylfaen" w:hAnsi="Sylfaen" w:cs="Arial"/>
          <w:color w:val="000000"/>
          <w:sz w:val="20"/>
          <w:szCs w:val="20"/>
        </w:rPr>
      </w:pPr>
      <w:r w:rsidRPr="00711234">
        <w:rPr>
          <w:rFonts w:ascii="Sylfaen" w:hAnsi="Sylfaen" w:cs="Arial"/>
          <w:color w:val="000000"/>
          <w:sz w:val="20"/>
          <w:szCs w:val="20"/>
        </w:rPr>
        <w:t xml:space="preserve">According to the National statistics office data, in 2015, birth rate to women aged </w:t>
      </w:r>
      <w:proofErr w:type="gramStart"/>
      <w:r w:rsidRPr="00711234">
        <w:rPr>
          <w:rFonts w:ascii="Sylfaen" w:hAnsi="Sylfaen" w:cs="Arial"/>
          <w:color w:val="000000"/>
          <w:sz w:val="20"/>
          <w:szCs w:val="20"/>
        </w:rPr>
        <w:t>under</w:t>
      </w:r>
      <w:proofErr w:type="gramEnd"/>
      <w:r w:rsidRPr="00711234">
        <w:rPr>
          <w:rFonts w:ascii="Sylfaen" w:hAnsi="Sylfaen" w:cs="Arial"/>
          <w:color w:val="000000"/>
          <w:sz w:val="20"/>
          <w:szCs w:val="20"/>
        </w:rPr>
        <w:t xml:space="preserve"> 20 decreased and reached 48.6 per 1000 women</w:t>
      </w:r>
    </w:p>
    <w:p w:rsidR="00E336C3" w:rsidRPr="00711234" w:rsidRDefault="00E336C3" w:rsidP="00711234">
      <w:pPr>
        <w:autoSpaceDE w:val="0"/>
        <w:autoSpaceDN w:val="0"/>
        <w:adjustRightInd w:val="0"/>
        <w:spacing w:after="0" w:line="240" w:lineRule="auto"/>
        <w:jc w:val="both"/>
        <w:rPr>
          <w:rFonts w:ascii="Sylfaen" w:hAnsi="Sylfaen" w:cs="Arial"/>
          <w:color w:val="000000"/>
          <w:sz w:val="20"/>
          <w:szCs w:val="20"/>
        </w:rPr>
      </w:pPr>
    </w:p>
    <w:p w:rsidR="009C765F" w:rsidRDefault="00E336C3" w:rsidP="00643DCC">
      <w:pPr>
        <w:autoSpaceDE w:val="0"/>
        <w:autoSpaceDN w:val="0"/>
        <w:adjustRightInd w:val="0"/>
        <w:spacing w:after="0" w:line="240" w:lineRule="auto"/>
        <w:ind w:left="720"/>
        <w:jc w:val="both"/>
        <w:rPr>
          <w:rFonts w:ascii="Sylfaen" w:hAnsi="Sylfaen" w:cs="Arial"/>
          <w:b/>
          <w:bCs/>
          <w:color w:val="000000"/>
          <w:sz w:val="20"/>
          <w:szCs w:val="20"/>
        </w:rPr>
      </w:pPr>
      <w:r w:rsidRPr="00711234">
        <w:rPr>
          <w:rFonts w:ascii="Sylfaen" w:hAnsi="Sylfaen" w:cs="Arial"/>
          <w:b/>
          <w:bCs/>
          <w:color w:val="000000"/>
          <w:sz w:val="20"/>
          <w:szCs w:val="20"/>
        </w:rPr>
        <w:t>Adolescent pregnancy rate, Georgia (per 1000 women aged 15-19)</w:t>
      </w:r>
    </w:p>
    <w:p w:rsidR="00E336C3" w:rsidRPr="00711234" w:rsidRDefault="00E336C3" w:rsidP="00643DCC">
      <w:pPr>
        <w:autoSpaceDE w:val="0"/>
        <w:autoSpaceDN w:val="0"/>
        <w:adjustRightInd w:val="0"/>
        <w:spacing w:after="0" w:line="240" w:lineRule="auto"/>
        <w:jc w:val="center"/>
        <w:rPr>
          <w:rFonts w:ascii="Sylfaen" w:hAnsi="Sylfaen" w:cs="Arial"/>
          <w:color w:val="000000"/>
          <w:sz w:val="20"/>
          <w:szCs w:val="20"/>
        </w:rPr>
      </w:pPr>
      <w:r w:rsidRPr="00711234">
        <w:rPr>
          <w:rFonts w:ascii="Sylfaen" w:hAnsi="Sylfaen"/>
          <w:noProof/>
          <w:sz w:val="20"/>
          <w:szCs w:val="20"/>
        </w:rPr>
        <w:drawing>
          <wp:inline distT="0" distB="0" distL="0" distR="0" wp14:anchorId="44509166" wp14:editId="61E6D224">
            <wp:extent cx="4089861" cy="221820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090780" cy="2218707"/>
                    </a:xfrm>
                    <a:prstGeom prst="rect">
                      <a:avLst/>
                    </a:prstGeom>
                  </pic:spPr>
                </pic:pic>
              </a:graphicData>
            </a:graphic>
          </wp:inline>
        </w:drawing>
      </w:r>
    </w:p>
    <w:p w:rsidR="00E336C3" w:rsidRPr="00711234" w:rsidRDefault="00E336C3" w:rsidP="00711234">
      <w:pPr>
        <w:autoSpaceDE w:val="0"/>
        <w:autoSpaceDN w:val="0"/>
        <w:adjustRightInd w:val="0"/>
        <w:spacing w:after="0" w:line="240" w:lineRule="auto"/>
        <w:jc w:val="both"/>
        <w:rPr>
          <w:rFonts w:ascii="Sylfaen" w:hAnsi="Sylfaen" w:cs="Arial"/>
          <w:color w:val="000000"/>
          <w:sz w:val="20"/>
          <w:szCs w:val="20"/>
        </w:rPr>
      </w:pPr>
    </w:p>
    <w:p w:rsidR="00E336C3" w:rsidRPr="00711234" w:rsidRDefault="00E336C3" w:rsidP="00711234">
      <w:pPr>
        <w:autoSpaceDE w:val="0"/>
        <w:autoSpaceDN w:val="0"/>
        <w:adjustRightInd w:val="0"/>
        <w:spacing w:after="0" w:line="240" w:lineRule="auto"/>
        <w:jc w:val="both"/>
        <w:rPr>
          <w:rFonts w:ascii="Sylfaen" w:hAnsi="Sylfaen" w:cs="Arial"/>
          <w:color w:val="000000"/>
          <w:sz w:val="20"/>
          <w:szCs w:val="20"/>
        </w:rPr>
      </w:pPr>
    </w:p>
    <w:p w:rsidR="00D15486" w:rsidRPr="00711234" w:rsidRDefault="00B27A5D" w:rsidP="00711234">
      <w:pPr>
        <w:jc w:val="both"/>
        <w:rPr>
          <w:rFonts w:ascii="Sylfaen" w:hAnsi="Sylfaen"/>
          <w:sz w:val="20"/>
          <w:szCs w:val="20"/>
        </w:rPr>
      </w:pPr>
      <w:r w:rsidRPr="00F73866">
        <w:rPr>
          <w:rFonts w:ascii="Sylfaen" w:hAnsi="Sylfaen"/>
          <w:b/>
          <w:sz w:val="20"/>
          <w:szCs w:val="20"/>
        </w:rPr>
        <w:t>2.</w:t>
      </w:r>
      <w:r w:rsidRPr="00711234">
        <w:rPr>
          <w:rFonts w:ascii="Sylfaen" w:hAnsi="Sylfaen"/>
          <w:sz w:val="20"/>
          <w:szCs w:val="20"/>
        </w:rPr>
        <w:t xml:space="preserve"> </w:t>
      </w:r>
      <w:r w:rsidRPr="00F73866">
        <w:rPr>
          <w:rFonts w:ascii="Sylfaen" w:hAnsi="Sylfaen"/>
          <w:b/>
          <w:sz w:val="20"/>
          <w:szCs w:val="20"/>
        </w:rPr>
        <w:t>Please provide information in relation to any innovative initiatives that have been taken at the local, regional or national level to promote and ensure the exercise of sexual and reproductive health and rights of girls with disabilities and identify lessons learned f</w:t>
      </w:r>
      <w:bookmarkStart w:id="0" w:name="_GoBack"/>
      <w:bookmarkEnd w:id="0"/>
      <w:r w:rsidRPr="00F73866">
        <w:rPr>
          <w:rFonts w:ascii="Sylfaen" w:hAnsi="Sylfaen"/>
          <w:b/>
          <w:sz w:val="20"/>
          <w:szCs w:val="20"/>
        </w:rPr>
        <w:t>rom these</w:t>
      </w:r>
    </w:p>
    <w:p w:rsidR="00867D79" w:rsidRPr="00711234" w:rsidRDefault="00867D79" w:rsidP="00643DCC">
      <w:pPr>
        <w:ind w:left="720"/>
        <w:jc w:val="both"/>
        <w:rPr>
          <w:rFonts w:ascii="Sylfaen" w:hAnsi="Sylfaen"/>
          <w:sz w:val="20"/>
          <w:szCs w:val="20"/>
        </w:rPr>
      </w:pPr>
      <w:r w:rsidRPr="00711234">
        <w:rPr>
          <w:rFonts w:ascii="Sylfaen" w:hAnsi="Sylfaen"/>
          <w:sz w:val="20"/>
          <w:szCs w:val="20"/>
        </w:rPr>
        <w:t>The National Council for Reproductive Health was established in 2007, which includes the representatives of state institutions, civil society, multilateral and bilateral international partner organizations (Order N34 / N of the Minister of Foreign Affairs of 2007). This Council coordinates the development of reproductive health sphere.</w:t>
      </w:r>
    </w:p>
    <w:p w:rsidR="00867D79" w:rsidRDefault="00867D79" w:rsidP="00643DCC">
      <w:pPr>
        <w:ind w:left="720"/>
        <w:jc w:val="both"/>
        <w:rPr>
          <w:rFonts w:ascii="Sylfaen" w:hAnsi="Sylfaen"/>
          <w:sz w:val="20"/>
          <w:szCs w:val="20"/>
        </w:rPr>
      </w:pPr>
      <w:r w:rsidRPr="00711234">
        <w:rPr>
          <w:rFonts w:ascii="Sylfaen" w:hAnsi="Sylfaen"/>
          <w:sz w:val="20"/>
          <w:szCs w:val="20"/>
        </w:rPr>
        <w:t xml:space="preserve">With the financial support of the United States Agency for International Development, in 2010-2015, more than 1000 primary healthcare and rural doctors were trained to increase access to family planning and </w:t>
      </w:r>
      <w:r w:rsidRPr="00711234">
        <w:rPr>
          <w:rFonts w:ascii="Sylfaen" w:hAnsi="Sylfaen"/>
          <w:sz w:val="20"/>
          <w:szCs w:val="20"/>
        </w:rPr>
        <w:lastRenderedPageBreak/>
        <w:t>reproductive health services. USAID has also been provided by rural doctors and primary healthcare providers with different types of contraceptive means, which is valid until 2019.</w:t>
      </w:r>
    </w:p>
    <w:p w:rsidR="009C765F" w:rsidRPr="009C765F" w:rsidRDefault="009C765F" w:rsidP="00643DCC">
      <w:pPr>
        <w:ind w:left="720"/>
        <w:jc w:val="both"/>
        <w:rPr>
          <w:rFonts w:ascii="Sylfaen" w:hAnsi="Sylfaen"/>
          <w:sz w:val="20"/>
          <w:szCs w:val="20"/>
        </w:rPr>
      </w:pPr>
      <w:r w:rsidRPr="009C765F">
        <w:rPr>
          <w:rFonts w:ascii="Sylfaen" w:hAnsi="Sylfaen"/>
          <w:sz w:val="20"/>
          <w:szCs w:val="20"/>
        </w:rPr>
        <w:t xml:space="preserve">An important step forward toward strengthening maternal and newborn health </w:t>
      </w:r>
      <w:r>
        <w:rPr>
          <w:rFonts w:ascii="Sylfaen" w:hAnsi="Sylfaen"/>
          <w:sz w:val="20"/>
          <w:szCs w:val="20"/>
        </w:rPr>
        <w:t>right</w:t>
      </w:r>
      <w:r w:rsidRPr="009C765F">
        <w:rPr>
          <w:rFonts w:ascii="Sylfaen" w:hAnsi="Sylfaen"/>
          <w:sz w:val="20"/>
          <w:szCs w:val="20"/>
        </w:rPr>
        <w:t xml:space="preserve"> in the country was the initiation of the Perinatal Care Regionalization project, implemented by the </w:t>
      </w:r>
      <w:proofErr w:type="spellStart"/>
      <w:r w:rsidRPr="009C765F">
        <w:rPr>
          <w:rFonts w:ascii="Sylfaen" w:hAnsi="Sylfaen"/>
          <w:sz w:val="20"/>
          <w:szCs w:val="20"/>
        </w:rPr>
        <w:t>MoLHSA</w:t>
      </w:r>
      <w:proofErr w:type="spellEnd"/>
      <w:r w:rsidRPr="009C765F">
        <w:rPr>
          <w:rFonts w:ascii="Sylfaen" w:hAnsi="Sylfaen"/>
          <w:sz w:val="20"/>
          <w:szCs w:val="20"/>
        </w:rPr>
        <w:t xml:space="preserve"> with the support of donor organizations. Regionalization of perinatal care considers defining the levels of care, roles and responsibilities for all levels of care to ensure effective operation of referrals. A pilot project was launched in </w:t>
      </w:r>
      <w:proofErr w:type="spellStart"/>
      <w:r w:rsidRPr="009C765F">
        <w:rPr>
          <w:rFonts w:ascii="Sylfaen" w:hAnsi="Sylfaen"/>
          <w:sz w:val="20"/>
          <w:szCs w:val="20"/>
        </w:rPr>
        <w:t>Imereti</w:t>
      </w:r>
      <w:proofErr w:type="spellEnd"/>
      <w:r w:rsidRPr="009C765F">
        <w:rPr>
          <w:rFonts w:ascii="Sylfaen" w:hAnsi="Sylfaen"/>
          <w:sz w:val="20"/>
          <w:szCs w:val="20"/>
        </w:rPr>
        <w:t xml:space="preserve"> and </w:t>
      </w:r>
      <w:proofErr w:type="spellStart"/>
      <w:r w:rsidRPr="009C765F">
        <w:rPr>
          <w:rFonts w:ascii="Sylfaen" w:hAnsi="Sylfaen"/>
          <w:sz w:val="20"/>
          <w:szCs w:val="20"/>
        </w:rPr>
        <w:t>Racha-Lechkhumi</w:t>
      </w:r>
      <w:proofErr w:type="spellEnd"/>
      <w:r w:rsidRPr="009C765F">
        <w:rPr>
          <w:rFonts w:ascii="Sylfaen" w:hAnsi="Sylfaen"/>
          <w:sz w:val="20"/>
          <w:szCs w:val="20"/>
        </w:rPr>
        <w:t xml:space="preserve"> maternity hospitals in 2015 with the support of the US Government (USAID/SUSTAIN). Later the project was expanded to </w:t>
      </w:r>
      <w:proofErr w:type="spellStart"/>
      <w:r w:rsidRPr="009C765F">
        <w:rPr>
          <w:rFonts w:ascii="Sylfaen" w:hAnsi="Sylfaen"/>
          <w:sz w:val="20"/>
          <w:szCs w:val="20"/>
        </w:rPr>
        <w:t>Kvemo</w:t>
      </w:r>
      <w:proofErr w:type="spellEnd"/>
      <w:r w:rsidRPr="009C765F">
        <w:rPr>
          <w:rFonts w:ascii="Sylfaen" w:hAnsi="Sylfaen"/>
          <w:sz w:val="20"/>
          <w:szCs w:val="20"/>
        </w:rPr>
        <w:t xml:space="preserve"> </w:t>
      </w:r>
      <w:proofErr w:type="spellStart"/>
      <w:r w:rsidRPr="009C765F">
        <w:rPr>
          <w:rFonts w:ascii="Sylfaen" w:hAnsi="Sylfaen"/>
          <w:sz w:val="20"/>
          <w:szCs w:val="20"/>
        </w:rPr>
        <w:t>Kartli</w:t>
      </w:r>
      <w:proofErr w:type="spellEnd"/>
      <w:r w:rsidRPr="009C765F">
        <w:rPr>
          <w:rFonts w:ascii="Sylfaen" w:hAnsi="Sylfaen"/>
          <w:sz w:val="20"/>
          <w:szCs w:val="20"/>
        </w:rPr>
        <w:t xml:space="preserve"> and Tbilisi in partnership with the UNFPA</w:t>
      </w:r>
      <w:r w:rsidRPr="009C765F">
        <w:rPr>
          <w:rFonts w:ascii="Sylfaen" w:hAnsi="Sylfaen"/>
          <w:sz w:val="20"/>
          <w:szCs w:val="20"/>
          <w:lang w:val="ka-GE"/>
        </w:rPr>
        <w:t xml:space="preserve"> </w:t>
      </w:r>
      <w:r w:rsidRPr="009C765F">
        <w:rPr>
          <w:rFonts w:ascii="Sylfaen" w:hAnsi="Sylfaen"/>
          <w:sz w:val="20"/>
          <w:szCs w:val="20"/>
        </w:rPr>
        <w:t>and Rotary Club. From July 2016, regionalization has been rolled out in </w:t>
      </w:r>
      <w:proofErr w:type="spellStart"/>
      <w:r w:rsidRPr="009C765F">
        <w:rPr>
          <w:rFonts w:ascii="Sylfaen" w:hAnsi="Sylfaen"/>
          <w:sz w:val="20"/>
          <w:szCs w:val="20"/>
        </w:rPr>
        <w:t>Adjara</w:t>
      </w:r>
      <w:proofErr w:type="spellEnd"/>
      <w:r w:rsidRPr="009C765F">
        <w:rPr>
          <w:rFonts w:ascii="Sylfaen" w:hAnsi="Sylfaen"/>
          <w:sz w:val="20"/>
          <w:szCs w:val="20"/>
        </w:rPr>
        <w:t xml:space="preserve">, </w:t>
      </w:r>
      <w:proofErr w:type="spellStart"/>
      <w:r w:rsidRPr="009C765F">
        <w:rPr>
          <w:rFonts w:ascii="Sylfaen" w:hAnsi="Sylfaen"/>
          <w:sz w:val="20"/>
          <w:szCs w:val="20"/>
        </w:rPr>
        <w:t>Guria</w:t>
      </w:r>
      <w:proofErr w:type="spellEnd"/>
      <w:r w:rsidRPr="009C765F">
        <w:rPr>
          <w:rFonts w:ascii="Sylfaen" w:hAnsi="Sylfaen"/>
          <w:sz w:val="20"/>
          <w:szCs w:val="20"/>
        </w:rPr>
        <w:t>, </w:t>
      </w:r>
      <w:proofErr w:type="spellStart"/>
      <w:r w:rsidRPr="009C765F">
        <w:rPr>
          <w:rFonts w:ascii="Sylfaen" w:hAnsi="Sylfaen"/>
          <w:sz w:val="20"/>
          <w:szCs w:val="20"/>
        </w:rPr>
        <w:t>Samegrelo</w:t>
      </w:r>
      <w:proofErr w:type="spellEnd"/>
      <w:r w:rsidRPr="009C765F">
        <w:rPr>
          <w:rFonts w:ascii="Sylfaen" w:hAnsi="Sylfaen"/>
          <w:sz w:val="20"/>
          <w:szCs w:val="20"/>
        </w:rPr>
        <w:t xml:space="preserve">, </w:t>
      </w:r>
      <w:proofErr w:type="spellStart"/>
      <w:r w:rsidRPr="009C765F">
        <w:rPr>
          <w:rFonts w:ascii="Sylfaen" w:hAnsi="Sylfaen"/>
          <w:sz w:val="20"/>
          <w:szCs w:val="20"/>
        </w:rPr>
        <w:t>Mtskheta-Mtianeti</w:t>
      </w:r>
      <w:proofErr w:type="spellEnd"/>
      <w:r w:rsidRPr="009C765F">
        <w:rPr>
          <w:rFonts w:ascii="Sylfaen" w:hAnsi="Sylfaen"/>
          <w:sz w:val="20"/>
          <w:szCs w:val="20"/>
        </w:rPr>
        <w:t xml:space="preserve"> and </w:t>
      </w:r>
      <w:proofErr w:type="spellStart"/>
      <w:r w:rsidRPr="009C765F">
        <w:rPr>
          <w:rFonts w:ascii="Sylfaen" w:hAnsi="Sylfaen"/>
          <w:sz w:val="20"/>
          <w:szCs w:val="20"/>
        </w:rPr>
        <w:t>Shida</w:t>
      </w:r>
      <w:proofErr w:type="spellEnd"/>
      <w:r w:rsidRPr="009C765F">
        <w:rPr>
          <w:rFonts w:ascii="Sylfaen" w:hAnsi="Sylfaen"/>
          <w:sz w:val="20"/>
          <w:szCs w:val="20"/>
        </w:rPr>
        <w:t xml:space="preserve"> </w:t>
      </w:r>
      <w:proofErr w:type="spellStart"/>
      <w:r w:rsidRPr="009C765F">
        <w:rPr>
          <w:rFonts w:ascii="Sylfaen" w:hAnsi="Sylfaen"/>
          <w:sz w:val="20"/>
          <w:szCs w:val="20"/>
        </w:rPr>
        <w:t>Kartli</w:t>
      </w:r>
      <w:proofErr w:type="spellEnd"/>
      <w:r w:rsidRPr="009C765F">
        <w:rPr>
          <w:rFonts w:ascii="Sylfaen" w:hAnsi="Sylfaen"/>
          <w:sz w:val="20"/>
          <w:szCs w:val="20"/>
        </w:rPr>
        <w:t xml:space="preserve"> regions with the support of UNICEF. The initiative will be introduced in </w:t>
      </w:r>
      <w:proofErr w:type="spellStart"/>
      <w:r w:rsidRPr="009C765F">
        <w:rPr>
          <w:rFonts w:ascii="Sylfaen" w:hAnsi="Sylfaen"/>
          <w:sz w:val="20"/>
          <w:szCs w:val="20"/>
        </w:rPr>
        <w:t>Kakheti</w:t>
      </w:r>
      <w:proofErr w:type="spellEnd"/>
      <w:r w:rsidRPr="009C765F">
        <w:rPr>
          <w:rFonts w:ascii="Sylfaen" w:hAnsi="Sylfaen"/>
          <w:sz w:val="20"/>
          <w:szCs w:val="20"/>
        </w:rPr>
        <w:t xml:space="preserve"> and </w:t>
      </w:r>
      <w:proofErr w:type="spellStart"/>
      <w:r w:rsidRPr="009C765F">
        <w:rPr>
          <w:rFonts w:ascii="Sylfaen" w:hAnsi="Sylfaen"/>
          <w:sz w:val="20"/>
          <w:szCs w:val="20"/>
        </w:rPr>
        <w:t>Samtskhe-Javakheti</w:t>
      </w:r>
      <w:proofErr w:type="spellEnd"/>
      <w:r w:rsidRPr="009C765F">
        <w:rPr>
          <w:rFonts w:ascii="Sylfaen" w:hAnsi="Sylfaen"/>
          <w:sz w:val="20"/>
          <w:szCs w:val="20"/>
        </w:rPr>
        <w:t xml:space="preserve"> in partnership with the World Vision. </w:t>
      </w:r>
    </w:p>
    <w:p w:rsidR="009C765F" w:rsidRPr="00711234" w:rsidRDefault="009C765F" w:rsidP="00643DCC">
      <w:pPr>
        <w:ind w:left="720"/>
        <w:jc w:val="both"/>
        <w:rPr>
          <w:rFonts w:ascii="Sylfaen" w:hAnsi="Sylfaen"/>
          <w:sz w:val="20"/>
          <w:szCs w:val="20"/>
        </w:rPr>
      </w:pPr>
      <w:r w:rsidRPr="009C765F">
        <w:rPr>
          <w:rFonts w:ascii="Sylfaen" w:hAnsi="Sylfaen"/>
          <w:sz w:val="20"/>
          <w:szCs w:val="20"/>
        </w:rPr>
        <w:t xml:space="preserve">As a follow up and additional boost to the regionalization initiative, WHO perinatal care quality improvement methodology – Near Miss Case Review (NMCR) has been introduced in three pilot maternities in </w:t>
      </w:r>
      <w:proofErr w:type="spellStart"/>
      <w:r w:rsidRPr="009C765F">
        <w:rPr>
          <w:rFonts w:ascii="Sylfaen" w:hAnsi="Sylfaen"/>
          <w:sz w:val="20"/>
          <w:szCs w:val="20"/>
        </w:rPr>
        <w:t>Imereti</w:t>
      </w:r>
      <w:proofErr w:type="spellEnd"/>
      <w:r w:rsidRPr="009C765F">
        <w:rPr>
          <w:rFonts w:ascii="Sylfaen" w:hAnsi="Sylfaen"/>
          <w:sz w:val="20"/>
          <w:szCs w:val="20"/>
        </w:rPr>
        <w:t xml:space="preserve"> region with UNFPA support to further contribute to improvement of the quality of Maternal and Newborn Care, which shall be gradually expanded in all regions.</w:t>
      </w:r>
    </w:p>
    <w:p w:rsidR="00867D79" w:rsidRPr="00711234" w:rsidRDefault="00867D79" w:rsidP="00643DCC">
      <w:pPr>
        <w:ind w:left="720"/>
        <w:jc w:val="both"/>
        <w:rPr>
          <w:rFonts w:ascii="Sylfaen" w:hAnsi="Sylfaen"/>
          <w:sz w:val="20"/>
          <w:szCs w:val="20"/>
          <w:lang w:val="ka-GE"/>
        </w:rPr>
      </w:pPr>
      <w:r w:rsidRPr="00711234">
        <w:rPr>
          <w:rFonts w:ascii="Sylfaen" w:hAnsi="Sylfaen"/>
          <w:sz w:val="20"/>
          <w:szCs w:val="20"/>
          <w:lang w:val="ka-GE"/>
        </w:rPr>
        <w:t xml:space="preserve">In 2016 was developed Maternal and Newbor </w:t>
      </w:r>
      <w:r w:rsidRPr="00711234">
        <w:rPr>
          <w:rFonts w:ascii="Sylfaen" w:hAnsi="Sylfaen"/>
          <w:sz w:val="20"/>
          <w:szCs w:val="20"/>
        </w:rPr>
        <w:t xml:space="preserve">health </w:t>
      </w:r>
      <w:r w:rsidRPr="00711234">
        <w:rPr>
          <w:rFonts w:ascii="Sylfaen" w:hAnsi="Sylfaen"/>
          <w:sz w:val="20"/>
          <w:szCs w:val="20"/>
          <w:lang w:val="ka-GE"/>
        </w:rPr>
        <w:t>strategy</w:t>
      </w:r>
      <w:r w:rsidRPr="00711234">
        <w:rPr>
          <w:rFonts w:ascii="Sylfaen" w:hAnsi="Sylfaen"/>
          <w:sz w:val="20"/>
          <w:szCs w:val="20"/>
        </w:rPr>
        <w:t xml:space="preserve"> 2017-2030</w:t>
      </w:r>
      <w:r w:rsidRPr="00711234">
        <w:rPr>
          <w:rFonts w:ascii="Sylfaen" w:hAnsi="Sylfaen"/>
          <w:sz w:val="20"/>
          <w:szCs w:val="20"/>
          <w:lang w:val="ka-GE"/>
        </w:rPr>
        <w:t>, which will increase awareness of population in reproductive health services.</w:t>
      </w:r>
    </w:p>
    <w:p w:rsidR="00867D79" w:rsidRPr="00711234" w:rsidRDefault="00867D79" w:rsidP="00711234">
      <w:pPr>
        <w:jc w:val="both"/>
        <w:rPr>
          <w:rFonts w:ascii="Sylfaen" w:hAnsi="Sylfaen"/>
          <w:sz w:val="20"/>
          <w:szCs w:val="20"/>
          <w:lang w:val="ka-GE"/>
        </w:rPr>
      </w:pPr>
    </w:p>
    <w:sectPr w:rsidR="00867D79" w:rsidRPr="00711234">
      <w:footerReference w:type="default" r:id="rId9"/>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2EE" w:rsidRDefault="001A22EE" w:rsidP="00711234">
      <w:pPr>
        <w:spacing w:after="0" w:line="240" w:lineRule="auto"/>
      </w:pPr>
      <w:r>
        <w:separator/>
      </w:r>
    </w:p>
  </w:endnote>
  <w:endnote w:type="continuationSeparator" w:id="0">
    <w:p w:rsidR="001A22EE" w:rsidRDefault="001A22EE" w:rsidP="00711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762885"/>
      <w:docPartObj>
        <w:docPartGallery w:val="Page Numbers (Bottom of Page)"/>
        <w:docPartUnique/>
      </w:docPartObj>
    </w:sdtPr>
    <w:sdtEndPr>
      <w:rPr>
        <w:noProof/>
      </w:rPr>
    </w:sdtEndPr>
    <w:sdtContent>
      <w:p w:rsidR="002E2BDA" w:rsidRDefault="002E2BDA">
        <w:pPr>
          <w:pStyle w:val="Footer"/>
          <w:jc w:val="center"/>
        </w:pPr>
        <w:r>
          <w:fldChar w:fldCharType="begin"/>
        </w:r>
        <w:r>
          <w:instrText xml:space="preserve"> PAGE   \* MERGEFORMAT </w:instrText>
        </w:r>
        <w:r>
          <w:fldChar w:fldCharType="separate"/>
        </w:r>
        <w:r w:rsidR="00F73866">
          <w:rPr>
            <w:noProof/>
          </w:rPr>
          <w:t>1</w:t>
        </w:r>
        <w:r>
          <w:rPr>
            <w:noProof/>
          </w:rPr>
          <w:fldChar w:fldCharType="end"/>
        </w:r>
      </w:p>
    </w:sdtContent>
  </w:sdt>
  <w:p w:rsidR="002E2BDA" w:rsidRDefault="002E2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2EE" w:rsidRDefault="001A22EE" w:rsidP="00711234">
      <w:pPr>
        <w:spacing w:after="0" w:line="240" w:lineRule="auto"/>
      </w:pPr>
      <w:r>
        <w:separator/>
      </w:r>
    </w:p>
  </w:footnote>
  <w:footnote w:type="continuationSeparator" w:id="0">
    <w:p w:rsidR="001A22EE" w:rsidRDefault="001A22EE" w:rsidP="00711234">
      <w:pPr>
        <w:spacing w:after="0" w:line="240" w:lineRule="auto"/>
      </w:pPr>
      <w:r>
        <w:continuationSeparator/>
      </w:r>
    </w:p>
  </w:footnote>
  <w:footnote w:id="1">
    <w:p w:rsidR="00711234" w:rsidRDefault="00711234" w:rsidP="00711234">
      <w:pPr>
        <w:pStyle w:val="Quote"/>
      </w:pPr>
      <w:r>
        <w:rPr>
          <w:rStyle w:val="FootnoteReference"/>
        </w:rPr>
        <w:footnoteRef/>
      </w:r>
      <w:r>
        <w:t xml:space="preserve"> </w:t>
      </w:r>
      <w:hyperlink r:id="rId1" w:history="1">
        <w:r w:rsidRPr="009136C6">
          <w:rPr>
            <w:rStyle w:val="Hyperlink"/>
          </w:rPr>
          <w:t>http://unicef.ge/uploads/Final_Eng_Geostat_Youth_SitAN.pdf</w:t>
        </w:r>
      </w:hyperlink>
      <w:r>
        <w:t xml:space="preserve"> </w:t>
      </w:r>
    </w:p>
  </w:footnote>
  <w:footnote w:id="2">
    <w:p w:rsidR="00711234" w:rsidRPr="0046683C" w:rsidRDefault="00711234" w:rsidP="00711234">
      <w:pPr>
        <w:pStyle w:val="Quote"/>
      </w:pPr>
      <w:r w:rsidRPr="003F7F0E">
        <w:rPr>
          <w:rStyle w:val="FootnoteReference"/>
          <w:sz w:val="20"/>
          <w:szCs w:val="20"/>
        </w:rPr>
        <w:footnoteRef/>
      </w:r>
      <w:r w:rsidRPr="003F7F0E">
        <w:rPr>
          <w:sz w:val="20"/>
          <w:szCs w:val="20"/>
          <w:lang w:val="en-GB"/>
        </w:rPr>
        <w:t xml:space="preserve"> </w:t>
      </w:r>
      <w:r w:rsidRPr="0046683C">
        <w:rPr>
          <w:lang w:val="en-GB"/>
        </w:rPr>
        <w:t xml:space="preserve">Evert </w:t>
      </w:r>
      <w:proofErr w:type="spellStart"/>
      <w:r w:rsidRPr="0046683C">
        <w:rPr>
          <w:lang w:val="en-GB"/>
        </w:rPr>
        <w:t>Ketting</w:t>
      </w:r>
      <w:proofErr w:type="spellEnd"/>
      <w:r w:rsidRPr="0046683C">
        <w:rPr>
          <w:lang w:val="en-GB"/>
        </w:rPr>
        <w:t xml:space="preserve">. </w:t>
      </w:r>
      <w:proofErr w:type="gramStart"/>
      <w:r w:rsidRPr="0046683C">
        <w:rPr>
          <w:lang w:val="en-GB"/>
        </w:rPr>
        <w:t>Possibilities for developing Youth-Friendly Sexual and Reproductive Health Services in Georgia; A Situation Analysis.</w:t>
      </w:r>
      <w:proofErr w:type="gramEnd"/>
      <w:r w:rsidRPr="0046683C">
        <w:rPr>
          <w:lang w:val="en-GB"/>
        </w:rPr>
        <w:t xml:space="preserve"> UNFPA, Tbilisi: 2015 (internal report). </w:t>
      </w:r>
    </w:p>
  </w:footnote>
  <w:footnote w:id="3">
    <w:p w:rsidR="00711234" w:rsidRPr="0046683C" w:rsidRDefault="00711234" w:rsidP="00711234">
      <w:pPr>
        <w:pStyle w:val="Quote"/>
        <w:rPr>
          <w:lang w:val="en-GB"/>
        </w:rPr>
      </w:pPr>
      <w:r w:rsidRPr="0046683C">
        <w:rPr>
          <w:rStyle w:val="FootnoteReference"/>
          <w:szCs w:val="18"/>
        </w:rPr>
        <w:footnoteRef/>
      </w:r>
      <w:r w:rsidRPr="0046683C">
        <w:rPr>
          <w:lang w:val="en-GB"/>
        </w:rPr>
        <w:t xml:space="preserve"> </w:t>
      </w:r>
      <w:proofErr w:type="gramStart"/>
      <w:r w:rsidRPr="0046683C">
        <w:rPr>
          <w:lang w:val="en-GB"/>
        </w:rPr>
        <w:t>National Centre for Disease Control and Public Health.</w:t>
      </w:r>
      <w:proofErr w:type="gramEnd"/>
      <w:r w:rsidRPr="0046683C">
        <w:rPr>
          <w:lang w:val="en-GB"/>
        </w:rPr>
        <w:t xml:space="preserve"> </w:t>
      </w:r>
      <w:proofErr w:type="gramStart"/>
      <w:r w:rsidRPr="0046683C">
        <w:rPr>
          <w:lang w:val="en-GB"/>
        </w:rPr>
        <w:t>Health Care; Statistical Yearbook 2014 Georgia.</w:t>
      </w:r>
      <w:proofErr w:type="gramEnd"/>
      <w:r w:rsidRPr="0046683C">
        <w:rPr>
          <w:lang w:val="en-GB"/>
        </w:rPr>
        <w:t xml:space="preserve"> </w:t>
      </w:r>
      <w:proofErr w:type="gramStart"/>
      <w:r w:rsidRPr="0046683C">
        <w:rPr>
          <w:lang w:val="en-GB"/>
        </w:rPr>
        <w:t>Ministry of Labour, Health and Social Affairs, Tbilisi 2015.</w:t>
      </w:r>
      <w:proofErr w:type="gramEnd"/>
    </w:p>
  </w:footnote>
  <w:footnote w:id="4">
    <w:p w:rsidR="00711234" w:rsidRPr="0046683C" w:rsidRDefault="00711234" w:rsidP="00711234">
      <w:pPr>
        <w:pStyle w:val="Quote"/>
        <w:rPr>
          <w:lang w:val="en-GB"/>
        </w:rPr>
      </w:pPr>
      <w:r w:rsidRPr="0046683C">
        <w:rPr>
          <w:rStyle w:val="FootnoteReference"/>
          <w:szCs w:val="18"/>
        </w:rPr>
        <w:footnoteRef/>
      </w:r>
      <w:r w:rsidRPr="0046683C">
        <w:rPr>
          <w:lang w:val="en-GB"/>
        </w:rPr>
        <w:t xml:space="preserve"> </w:t>
      </w:r>
      <w:proofErr w:type="gramStart"/>
      <w:r w:rsidRPr="0046683C">
        <w:rPr>
          <w:lang w:val="en-GB"/>
        </w:rPr>
        <w:t>UNFPA.</w:t>
      </w:r>
      <w:proofErr w:type="gramEnd"/>
      <w:r w:rsidRPr="0046683C">
        <w:rPr>
          <w:lang w:val="en-GB"/>
        </w:rPr>
        <w:t xml:space="preserve"> </w:t>
      </w:r>
      <w:proofErr w:type="gramStart"/>
      <w:r w:rsidRPr="0046683C">
        <w:rPr>
          <w:lang w:val="en-GB"/>
        </w:rPr>
        <w:t>The power of 1.8 Billion; Adolescents, youth and the transformation of the future.</w:t>
      </w:r>
      <w:proofErr w:type="gramEnd"/>
      <w:r w:rsidRPr="0046683C">
        <w:rPr>
          <w:lang w:val="en-GB"/>
        </w:rPr>
        <w:t xml:space="preserve"> </w:t>
      </w:r>
      <w:proofErr w:type="gramStart"/>
      <w:r w:rsidRPr="0046683C">
        <w:rPr>
          <w:lang w:val="en-GB"/>
        </w:rPr>
        <w:t>UNFPA State of the World Population 2014.</w:t>
      </w:r>
      <w:proofErr w:type="gramEnd"/>
    </w:p>
  </w:footnote>
  <w:footnote w:id="5">
    <w:p w:rsidR="00711234" w:rsidRPr="0046683C" w:rsidRDefault="00711234" w:rsidP="00711234">
      <w:pPr>
        <w:pStyle w:val="Quote"/>
        <w:rPr>
          <w:lang w:val="en-GB"/>
        </w:rPr>
      </w:pPr>
      <w:r w:rsidRPr="0046683C">
        <w:rPr>
          <w:rStyle w:val="FootnoteReference"/>
          <w:szCs w:val="18"/>
        </w:rPr>
        <w:footnoteRef/>
      </w:r>
      <w:r w:rsidRPr="0046683C">
        <w:rPr>
          <w:lang w:val="en-GB"/>
        </w:rPr>
        <w:t xml:space="preserve"> </w:t>
      </w:r>
      <w:proofErr w:type="gramStart"/>
      <w:r w:rsidRPr="0046683C">
        <w:rPr>
          <w:lang w:val="en-GB"/>
        </w:rPr>
        <w:t>National Centre for Disease Control and Public Health.</w:t>
      </w:r>
      <w:proofErr w:type="gramEnd"/>
      <w:r w:rsidRPr="0046683C">
        <w:rPr>
          <w:lang w:val="en-GB"/>
        </w:rPr>
        <w:t xml:space="preserve"> </w:t>
      </w:r>
      <w:proofErr w:type="gramStart"/>
      <w:r w:rsidRPr="0046683C">
        <w:rPr>
          <w:lang w:val="en-GB"/>
        </w:rPr>
        <w:t>Health Care; Statistical Yearbook 2014 Georgia.</w:t>
      </w:r>
      <w:proofErr w:type="gramEnd"/>
      <w:r w:rsidRPr="0046683C">
        <w:rPr>
          <w:lang w:val="en-GB"/>
        </w:rPr>
        <w:t xml:space="preserve"> </w:t>
      </w:r>
      <w:proofErr w:type="gramStart"/>
      <w:r w:rsidRPr="0046683C">
        <w:rPr>
          <w:lang w:val="en-GB"/>
        </w:rPr>
        <w:t>Ministry of Labour, Health and Social Affairs, Tbilisi 2015.</w:t>
      </w:r>
      <w:proofErr w:type="gramEnd"/>
    </w:p>
  </w:footnote>
  <w:footnote w:id="6">
    <w:p w:rsidR="00F82D71" w:rsidRDefault="00F82D71" w:rsidP="00F82D71">
      <w:pPr>
        <w:pStyle w:val="Quote"/>
      </w:pPr>
      <w:r>
        <w:rPr>
          <w:rStyle w:val="FootnoteReference"/>
        </w:rPr>
        <w:footnoteRef/>
      </w:r>
      <w:r>
        <w:t>A</w:t>
      </w:r>
      <w:r w:rsidRPr="00137F8A">
        <w:t xml:space="preserve">ccording to the </w:t>
      </w:r>
      <w:r>
        <w:t xml:space="preserve">most recent 2014 </w:t>
      </w:r>
      <w:r w:rsidRPr="00137F8A">
        <w:t>Census, the TFR in Georgia is 2.2</w:t>
      </w:r>
    </w:p>
  </w:footnote>
  <w:footnote w:id="7">
    <w:p w:rsidR="00F82D71" w:rsidRPr="005C109F" w:rsidRDefault="00F82D71" w:rsidP="00F82D71">
      <w:pPr>
        <w:pStyle w:val="Quote"/>
      </w:pPr>
      <w:r>
        <w:rPr>
          <w:rStyle w:val="FootnoteReference"/>
        </w:rPr>
        <w:footnoteRef/>
      </w:r>
      <w:r>
        <w:t xml:space="preserve"> </w:t>
      </w:r>
      <w:r w:rsidRPr="005C109F">
        <w:t>Georgia Population Situation Analysis, 2014, UNFPA</w:t>
      </w:r>
      <w:r>
        <w:t>, p. 68-69.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75675"/>
    <w:multiLevelType w:val="hybridMultilevel"/>
    <w:tmpl w:val="A920C95A"/>
    <w:lvl w:ilvl="0" w:tplc="35B4B8A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BF445D"/>
    <w:multiLevelType w:val="hybridMultilevel"/>
    <w:tmpl w:val="07606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A5D"/>
    <w:rsid w:val="001A22EE"/>
    <w:rsid w:val="002E2BDA"/>
    <w:rsid w:val="005D2DB4"/>
    <w:rsid w:val="00643DCC"/>
    <w:rsid w:val="006443EA"/>
    <w:rsid w:val="00711234"/>
    <w:rsid w:val="00712A3B"/>
    <w:rsid w:val="00867D79"/>
    <w:rsid w:val="009C765F"/>
    <w:rsid w:val="00A6314C"/>
    <w:rsid w:val="00AA046F"/>
    <w:rsid w:val="00B27A5D"/>
    <w:rsid w:val="00C413DD"/>
    <w:rsid w:val="00D15486"/>
    <w:rsid w:val="00DE181B"/>
    <w:rsid w:val="00E336C3"/>
    <w:rsid w:val="00EA2BA7"/>
    <w:rsid w:val="00F73866"/>
    <w:rsid w:val="00F82D71"/>
    <w:rsid w:val="00FA0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712A3B"/>
    <w:pPr>
      <w:spacing w:after="160" w:line="259" w:lineRule="auto"/>
      <w:ind w:left="720"/>
      <w:contextualSpacing/>
    </w:pPr>
    <w:rPr>
      <w:rFonts w:ascii="Sylfaen" w:eastAsia="Calibri" w:hAnsi="Sylfaen" w:cs="Times New Roman"/>
      <w:lang w:val="ka-GE" w:eastAsia="ka-GE"/>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712A3B"/>
    <w:rPr>
      <w:rFonts w:ascii="Sylfaen" w:eastAsia="Calibri" w:hAnsi="Sylfaen" w:cs="Times New Roman"/>
      <w:lang w:val="ka-GE" w:eastAsia="ka-GE"/>
    </w:rPr>
  </w:style>
  <w:style w:type="paragraph" w:styleId="BalloonText">
    <w:name w:val="Balloon Text"/>
    <w:basedOn w:val="Normal"/>
    <w:link w:val="BalloonTextChar"/>
    <w:uiPriority w:val="99"/>
    <w:semiHidden/>
    <w:unhideWhenUsed/>
    <w:rsid w:val="00E33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6C3"/>
    <w:rPr>
      <w:rFonts w:ascii="Tahoma" w:hAnsi="Tahoma" w:cs="Tahoma"/>
      <w:sz w:val="16"/>
      <w:szCs w:val="16"/>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711234"/>
    <w:rPr>
      <w:vertAlign w:val="superscript"/>
    </w:rPr>
  </w:style>
  <w:style w:type="paragraph" w:styleId="Quote">
    <w:name w:val="Quote"/>
    <w:basedOn w:val="Normal"/>
    <w:next w:val="Normal"/>
    <w:link w:val="QuoteChar"/>
    <w:uiPriority w:val="29"/>
    <w:qFormat/>
    <w:rsid w:val="00711234"/>
    <w:pPr>
      <w:spacing w:before="40" w:after="40" w:line="240" w:lineRule="auto"/>
    </w:pPr>
    <w:rPr>
      <w:rFonts w:ascii="Times New Roman" w:hAnsi="Times New Roman"/>
      <w:iCs/>
      <w:sz w:val="18"/>
    </w:rPr>
  </w:style>
  <w:style w:type="character" w:customStyle="1" w:styleId="QuoteChar">
    <w:name w:val="Quote Char"/>
    <w:basedOn w:val="DefaultParagraphFont"/>
    <w:link w:val="Quote"/>
    <w:uiPriority w:val="29"/>
    <w:rsid w:val="00711234"/>
    <w:rPr>
      <w:rFonts w:ascii="Times New Roman" w:hAnsi="Times New Roman"/>
      <w:iCs/>
      <w:sz w:val="18"/>
    </w:rPr>
  </w:style>
  <w:style w:type="character" w:styleId="Hyperlink">
    <w:name w:val="Hyperlink"/>
    <w:basedOn w:val="DefaultParagraphFont"/>
    <w:uiPriority w:val="99"/>
    <w:unhideWhenUsed/>
    <w:rsid w:val="00711234"/>
    <w:rPr>
      <w:color w:val="0000FF" w:themeColor="hyperlink"/>
      <w:u w:val="single"/>
    </w:rPr>
  </w:style>
  <w:style w:type="paragraph" w:styleId="Header">
    <w:name w:val="header"/>
    <w:basedOn w:val="Normal"/>
    <w:link w:val="HeaderChar"/>
    <w:uiPriority w:val="99"/>
    <w:unhideWhenUsed/>
    <w:rsid w:val="002E2BDA"/>
    <w:pPr>
      <w:tabs>
        <w:tab w:val="center" w:pos="4844"/>
        <w:tab w:val="right" w:pos="9689"/>
      </w:tabs>
      <w:spacing w:after="0" w:line="240" w:lineRule="auto"/>
    </w:pPr>
  </w:style>
  <w:style w:type="character" w:customStyle="1" w:styleId="HeaderChar">
    <w:name w:val="Header Char"/>
    <w:basedOn w:val="DefaultParagraphFont"/>
    <w:link w:val="Header"/>
    <w:uiPriority w:val="99"/>
    <w:rsid w:val="002E2BDA"/>
  </w:style>
  <w:style w:type="paragraph" w:styleId="Footer">
    <w:name w:val="footer"/>
    <w:basedOn w:val="Normal"/>
    <w:link w:val="FooterChar"/>
    <w:uiPriority w:val="99"/>
    <w:unhideWhenUsed/>
    <w:rsid w:val="002E2BDA"/>
    <w:pPr>
      <w:tabs>
        <w:tab w:val="center" w:pos="4844"/>
        <w:tab w:val="right" w:pos="9689"/>
      </w:tabs>
      <w:spacing w:after="0" w:line="240" w:lineRule="auto"/>
    </w:pPr>
  </w:style>
  <w:style w:type="character" w:customStyle="1" w:styleId="FooterChar">
    <w:name w:val="Footer Char"/>
    <w:basedOn w:val="DefaultParagraphFont"/>
    <w:link w:val="Footer"/>
    <w:uiPriority w:val="99"/>
    <w:rsid w:val="002E2B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712A3B"/>
    <w:pPr>
      <w:spacing w:after="160" w:line="259" w:lineRule="auto"/>
      <w:ind w:left="720"/>
      <w:contextualSpacing/>
    </w:pPr>
    <w:rPr>
      <w:rFonts w:ascii="Sylfaen" w:eastAsia="Calibri" w:hAnsi="Sylfaen" w:cs="Times New Roman"/>
      <w:lang w:val="ka-GE" w:eastAsia="ka-GE"/>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712A3B"/>
    <w:rPr>
      <w:rFonts w:ascii="Sylfaen" w:eastAsia="Calibri" w:hAnsi="Sylfaen" w:cs="Times New Roman"/>
      <w:lang w:val="ka-GE" w:eastAsia="ka-GE"/>
    </w:rPr>
  </w:style>
  <w:style w:type="paragraph" w:styleId="BalloonText">
    <w:name w:val="Balloon Text"/>
    <w:basedOn w:val="Normal"/>
    <w:link w:val="BalloonTextChar"/>
    <w:uiPriority w:val="99"/>
    <w:semiHidden/>
    <w:unhideWhenUsed/>
    <w:rsid w:val="00E33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6C3"/>
    <w:rPr>
      <w:rFonts w:ascii="Tahoma" w:hAnsi="Tahoma" w:cs="Tahoma"/>
      <w:sz w:val="16"/>
      <w:szCs w:val="16"/>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711234"/>
    <w:rPr>
      <w:vertAlign w:val="superscript"/>
    </w:rPr>
  </w:style>
  <w:style w:type="paragraph" w:styleId="Quote">
    <w:name w:val="Quote"/>
    <w:basedOn w:val="Normal"/>
    <w:next w:val="Normal"/>
    <w:link w:val="QuoteChar"/>
    <w:uiPriority w:val="29"/>
    <w:qFormat/>
    <w:rsid w:val="00711234"/>
    <w:pPr>
      <w:spacing w:before="40" w:after="40" w:line="240" w:lineRule="auto"/>
    </w:pPr>
    <w:rPr>
      <w:rFonts w:ascii="Times New Roman" w:hAnsi="Times New Roman"/>
      <w:iCs/>
      <w:sz w:val="18"/>
    </w:rPr>
  </w:style>
  <w:style w:type="character" w:customStyle="1" w:styleId="QuoteChar">
    <w:name w:val="Quote Char"/>
    <w:basedOn w:val="DefaultParagraphFont"/>
    <w:link w:val="Quote"/>
    <w:uiPriority w:val="29"/>
    <w:rsid w:val="00711234"/>
    <w:rPr>
      <w:rFonts w:ascii="Times New Roman" w:hAnsi="Times New Roman"/>
      <w:iCs/>
      <w:sz w:val="18"/>
    </w:rPr>
  </w:style>
  <w:style w:type="character" w:styleId="Hyperlink">
    <w:name w:val="Hyperlink"/>
    <w:basedOn w:val="DefaultParagraphFont"/>
    <w:uiPriority w:val="99"/>
    <w:unhideWhenUsed/>
    <w:rsid w:val="00711234"/>
    <w:rPr>
      <w:color w:val="0000FF" w:themeColor="hyperlink"/>
      <w:u w:val="single"/>
    </w:rPr>
  </w:style>
  <w:style w:type="paragraph" w:styleId="Header">
    <w:name w:val="header"/>
    <w:basedOn w:val="Normal"/>
    <w:link w:val="HeaderChar"/>
    <w:uiPriority w:val="99"/>
    <w:unhideWhenUsed/>
    <w:rsid w:val="002E2BDA"/>
    <w:pPr>
      <w:tabs>
        <w:tab w:val="center" w:pos="4844"/>
        <w:tab w:val="right" w:pos="9689"/>
      </w:tabs>
      <w:spacing w:after="0" w:line="240" w:lineRule="auto"/>
    </w:pPr>
  </w:style>
  <w:style w:type="character" w:customStyle="1" w:styleId="HeaderChar">
    <w:name w:val="Header Char"/>
    <w:basedOn w:val="DefaultParagraphFont"/>
    <w:link w:val="Header"/>
    <w:uiPriority w:val="99"/>
    <w:rsid w:val="002E2BDA"/>
  </w:style>
  <w:style w:type="paragraph" w:styleId="Footer">
    <w:name w:val="footer"/>
    <w:basedOn w:val="Normal"/>
    <w:link w:val="FooterChar"/>
    <w:uiPriority w:val="99"/>
    <w:unhideWhenUsed/>
    <w:rsid w:val="002E2BDA"/>
    <w:pPr>
      <w:tabs>
        <w:tab w:val="center" w:pos="4844"/>
        <w:tab w:val="right" w:pos="9689"/>
      </w:tabs>
      <w:spacing w:after="0" w:line="240" w:lineRule="auto"/>
    </w:pPr>
  </w:style>
  <w:style w:type="character" w:customStyle="1" w:styleId="FooterChar">
    <w:name w:val="Footer Char"/>
    <w:basedOn w:val="DefaultParagraphFont"/>
    <w:link w:val="Footer"/>
    <w:uiPriority w:val="99"/>
    <w:rsid w:val="002E2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86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unicef.ge/uploads/Final_Eng_Geostat_Youth_Sit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2</cp:revision>
  <dcterms:created xsi:type="dcterms:W3CDTF">2017-05-30T10:29:00Z</dcterms:created>
  <dcterms:modified xsi:type="dcterms:W3CDTF">2017-05-30T10:29:00Z</dcterms:modified>
</cp:coreProperties>
</file>